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9648BE" w:rsidTr="000F5121">
        <w:trPr>
          <w:trHeight w:val="467"/>
        </w:trPr>
        <w:tc>
          <w:tcPr>
            <w:tcW w:w="4518" w:type="dxa"/>
          </w:tcPr>
          <w:p w:rsidR="009648BE" w:rsidRPr="00B1618E" w:rsidRDefault="00FC282E" w:rsidP="009648BE">
            <w:pPr>
              <w:spacing w:after="0"/>
              <w:rPr>
                <w:b/>
                <w:color w:val="2E74B5" w:themeColor="accent1" w:themeShade="BF"/>
                <w:sz w:val="24"/>
                <w:szCs w:val="24"/>
              </w:rPr>
            </w:pPr>
            <w:r>
              <w:rPr>
                <w:b/>
                <w:color w:val="2E74B5" w:themeColor="accent1" w:themeShade="BF"/>
                <w:sz w:val="24"/>
                <w:szCs w:val="24"/>
              </w:rPr>
              <w:t>I. Art Making (48</w:t>
            </w:r>
            <w:r w:rsidR="009648BE" w:rsidRPr="00B1618E">
              <w:rPr>
                <w:b/>
                <w:color w:val="2E74B5" w:themeColor="accent1" w:themeShade="BF"/>
                <w:sz w:val="24"/>
                <w:szCs w:val="24"/>
              </w:rPr>
              <w: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B1618E" w:rsidRDefault="009648BE" w:rsidP="009648BE">
            <w:pPr>
              <w:spacing w:after="0"/>
              <w:rPr>
                <w:b/>
              </w:rPr>
            </w:pPr>
            <w:r w:rsidRPr="00B1618E">
              <w:rPr>
                <w:b/>
              </w:rPr>
              <w:t>A. General</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1. Knows and understands how to create and critique personal artwork using at least two art processes and media</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brings in reproductions that exhibit two different processes and that are certified as the candidate’s own work</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describes/reflects on/analyzes/evaluates processes and techniques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describes/reflects on/analyzes/evaluates ideation, concepts, influences, strengths, and weaknesses within own work</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describes/reflects on/analyzes/evaluates principles and elements of design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2. Knows and understands the elements of art and principles of visual organization (i.e., principles of design) as applied to two-dimensional and three-dimensional media</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elements and principles of design in visual stimuli</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explains relationships of elements to principles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distinguishes uses of elements and principles in two-dimensional and thre</w:t>
            </w:r>
            <w:bookmarkStart w:id="0" w:name="_GoBack"/>
            <w:bookmarkEnd w:id="0"/>
            <w:r w:rsidRPr="007318D8">
              <w:t>e-dimensional art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lastRenderedPageBreak/>
              <w:t>3. Knows and understands various historical methods (e.g., golden mean, hierarchical organization, perspective) and contemporary approaches (juxtaposition, appropriation, transformation, etc.) to creating art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defines/identifies both historical and contemporary methods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B1618E" w:rsidRDefault="009648BE" w:rsidP="009648BE">
            <w:pPr>
              <w:spacing w:after="0"/>
              <w:rPr>
                <w:b/>
              </w:rPr>
            </w:pPr>
            <w:r w:rsidRPr="00B1618E">
              <w:rPr>
                <w:b/>
              </w:rPr>
              <w:t>B. Media and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1. Knows and understands safety, environmental, and storage issues related to the use of art materials (e.g., clay dust, lead pigments, safety-label information) and art processes (e.g., cutting, etching, spraying)</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dangerous materials and their effects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categorizes dangerous materials and their effects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describes proper ventilation, storage, and disposal procedures based on the medium</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demonstrates knowledge of MSDS sheets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e. demonstrates understanding of safety procedures and precautions for using artist’s materials and tools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f. demonstrates knowledge of health issues related to the use of artists’ materials and tools (e.g., toxicity)</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lastRenderedPageBreak/>
              <w:t>2. Knows and understands how to use a variety of drawing, painting, and printmaking materials and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characteristics of materials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identifies similarities and differences among materials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knows vocabulary related to drawing, painting, and printmaking materials and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describes drawing, painting, and printmaking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e. solves problems and evaluates possible solutions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f. compares materials and techniques, and analyzes the compatibility of materials and techniques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g. recognizes or identifies processes through reproductions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3. Knows and understands how to use digital photography and image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demonstrates basic camera knowledge (camera parts, vocabulary)</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demonstrates knowledge of common editing and imaging software (e.g., cropping, basic manipulation, resizing)</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lastRenderedPageBreak/>
              <w:t>c. demonstrates knowledge of uploading, downloading, storing common file types such as .jpg and .</w:t>
            </w:r>
            <w:proofErr w:type="spellStart"/>
            <w:r w:rsidRPr="007318D8">
              <w:t>tif</w:t>
            </w:r>
            <w:proofErr w:type="spellEnd"/>
            <w:r w:rsidRPr="007318D8">
              <w:t>, transferring and printing images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knows and understands the process of creating digital images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4. Knows and understands materials, tools, and processes for videography, filmmaking, and installations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identifies/describes materials, tools, and processes for videography, filmmaking and installations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5. Knows and understands how to use sculptural materials and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characteristics of materials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identifies similarities and differences among materials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knows vocabulary related to sculptural materials and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describes sculptural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e. solves problems and evaluates possible solutions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f. compares materials and techniques, and analyzes the compatibility of materials and techniques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g. recognizes or identifies processes through reproductions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lastRenderedPageBreak/>
              <w:t>6. Knows and understands how to use a variety of fiber art materials and processes (e.g., weaving, basketry, paper making, jewelry making, processes based on sewing).</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characteristics of materials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identifies similarities and differences among materials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knows vocabulary related to fiber materials and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describes fiber processes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e. solves problems and evaluates possible solutions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f. compares materials and techniques, and analyzes the compatibility of materials and techniques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g. recognizes or identifies processes through reproductions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7. Knows and understands the physical aspects and effective ways of presenting art work for display purposes (e.g., cutting mattes, display boards)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and describes methods of mounting and matting work in ways appropriate to the medium</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identifies and describes methods of displaying three-dimensional work</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lastRenderedPageBreak/>
              <w:t>c. describes appropriate ways of using exhibition spaces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B1618E" w:rsidRDefault="009648BE" w:rsidP="009648BE">
            <w:pPr>
              <w:spacing w:after="0"/>
              <w:rPr>
                <w:b/>
                <w:color w:val="2E74B5" w:themeColor="accent1" w:themeShade="BF"/>
                <w:sz w:val="24"/>
                <w:szCs w:val="24"/>
              </w:rPr>
            </w:pPr>
            <w:r w:rsidRPr="00B1618E">
              <w:rPr>
                <w:b/>
                <w:color w:val="2E74B5" w:themeColor="accent1" w:themeShade="BF"/>
                <w:sz w:val="24"/>
                <w:szCs w:val="24"/>
              </w:rPr>
              <w:t>II. Historical and T</w:t>
            </w:r>
            <w:r w:rsidR="00FC282E">
              <w:rPr>
                <w:b/>
                <w:color w:val="2E74B5" w:themeColor="accent1" w:themeShade="BF"/>
                <w:sz w:val="24"/>
                <w:szCs w:val="24"/>
              </w:rPr>
              <w:t>heoretical Foundation of Art (27</w:t>
            </w:r>
            <w:r w:rsidRPr="00B1618E">
              <w:rPr>
                <w:b/>
                <w:color w:val="2E74B5" w:themeColor="accent1" w:themeShade="BF"/>
                <w:sz w:val="24"/>
                <w:szCs w:val="24"/>
              </w:rPr>
              <w: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B1618E" w:rsidRDefault="009648BE" w:rsidP="009648BE">
            <w:pPr>
              <w:spacing w:after="0"/>
              <w:rPr>
                <w:b/>
              </w:rPr>
            </w:pPr>
            <w:r w:rsidRPr="00B1618E">
              <w:rPr>
                <w:b/>
              </w:rPr>
              <w:t>A. Materials and Processes in an Art Historical Context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1. Knows and understands the following materials within an art historical context: painting, drawing, printmaking, sculpture, architecture, photography, fiber arts, crafts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characteristics of materials, processes, and techniques within an art historical context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identifies similarities and differences among materials, processes, and techniques (e.g., evolution over time)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knows vocabulary related to two-dimensional and three-dimensional media and processes within an art historical context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recognizes or identifies processes within an art historical context through reproductions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B1618E" w:rsidRDefault="009648BE" w:rsidP="009648BE">
            <w:pPr>
              <w:spacing w:after="0"/>
              <w:rPr>
                <w:b/>
              </w:rPr>
            </w:pPr>
            <w:r w:rsidRPr="00B1618E">
              <w:rPr>
                <w:b/>
              </w:rPr>
              <w:t>B. The Western Tradition in Art History</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 xml:space="preserve">1. Recognizes stylistic traits of art and architecture from each of the following time periods: Prehistory; Egypt and the Ancient Near East; Ancient Greece and Rome; Early Christian, </w:t>
            </w:r>
            <w:r w:rsidRPr="007318D8">
              <w:lastRenderedPageBreak/>
              <w:t>Byzantine, and Medieval periods; the Renaissance; the Baroque; 18th through 20th centuries in Europe and North America; contemporary art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identifies the styles of works of art and architecture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categorizes art and architecture according to style and/or period</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identifies major works of art and architecture by title, style, and/or artist, as appropriate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analyzes/explains the influence of art historical periods or schools on later work</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e. analyzes compositional elements and principles of design in works of art and architecture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f. recognizes the impact of major artistic and technological innovations (e.g., linear perspective, the invention of the camera, the invention of oil and acrylic paints) on the stylistic traits of art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 xml:space="preserve">2. Knows and understands the content, context, and/or purpose of art and architecture from each of the following time periods: Prehistory; Egypt and the Ancient Near East; Ancient Greece and Rome; Early Christian, Byzantine, and Medieval periods; the Renaissance; the </w:t>
            </w:r>
            <w:r w:rsidRPr="007318D8">
              <w:lastRenderedPageBreak/>
              <w:t>Baroque; 18th through 20th centuries in Europe and North America; contemporary art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explains the purposes of works of art from various time periods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decodes/analyzes the narrative or intended content of a work of art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analyzes/explains the interrelationships between art and social factors, cultural context, and events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explains the impact of major artistic and technological innovations on the content, context, and purposes of art (e.g., linear perspective, the invention of the camera, the invention of oil and acrylic paints)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e. acquires and evaluates information about art and artists from various sources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B1618E" w:rsidRDefault="009648BE" w:rsidP="009648BE">
            <w:pPr>
              <w:spacing w:after="0"/>
              <w:rPr>
                <w:b/>
              </w:rPr>
            </w:pPr>
            <w:r w:rsidRPr="00B1618E">
              <w:rPr>
                <w:b/>
              </w:rPr>
              <w:t>C. Art Beyond the Western Tradition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1. Knows and understands the general visual characteristics of art and architecture from Asia, Africa, the Americas, the South Pacific region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classifies works of art and architecture by regions/cultures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describes/analyzes works of art and architecture using compositional elements and principles of design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lastRenderedPageBreak/>
              <w:t>c. describes/analyzes the interrelationships between art from beyond the Western tradition and art from the Western tradition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identifies major works of art and architecture by title, style, and/or artist, as appropriate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2. Knows and understands the general content, context, and purposes of art from Asia, Africa, the Americas, the South Pacific region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a. explains the content and/or purpose (as appropriate) of frequently referenced works of art from various locations and cultures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identifies the general role of a work of art in its culture (e.g., celebration, ritual or ceremony, historical documentation)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explains how the context in which a work of art is created conveys information about various lifestyles and belief systems (e.g., how Mesoamerican pyramids illuminate life and culture)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acquires and evaluates information about art and artists from various sources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B1618E" w:rsidRDefault="009648BE" w:rsidP="009648BE">
            <w:pPr>
              <w:spacing w:after="0"/>
              <w:rPr>
                <w:b/>
              </w:rPr>
            </w:pPr>
            <w:r w:rsidRPr="00B1618E">
              <w:rPr>
                <w:b/>
              </w:rPr>
              <w:t>D. Responding to Art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 xml:space="preserve">1. Knows and understands the major theories of art and aesthetics (e.g., formalism, expressionism, </w:t>
            </w:r>
            <w:proofErr w:type="spellStart"/>
            <w:r w:rsidRPr="007318D8">
              <w:t>deconstructivism</w:t>
            </w:r>
            <w:proofErr w:type="spellEnd"/>
            <w:r w:rsidRPr="007318D8">
              <w:t xml:space="preserve">, and </w:t>
            </w:r>
            <w:proofErr w:type="spellStart"/>
            <w:r w:rsidRPr="007318D8">
              <w:t>representationalism</w:t>
            </w:r>
            <w:proofErr w:type="spellEnd"/>
            <w:r w:rsidRPr="007318D8">
              <w:t>)</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lastRenderedPageBreak/>
              <w:t>a. describes the major characteristics of various theories of art and aesthetics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b. distinguishes among the major theories of art and aesthetics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c. compares and contrasts the differences/similarities among theories of art and aesthetics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d. interprets and evaluates works of art based on theories of art and aesthetics (as opposed to personal opinion)</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e. Knows and understands the relationship between art and critical response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f. demonstrates knowledge of critical reactions to well-known works and/or art movements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g. recognizes/uses multiple viewpoints in examining a work of art (e.g., multiple viewpoints can be applied to the same work of art; visual or written analysis; looking at various analyses of works in history; “lenses”)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 xml:space="preserve">h. recognizes the way personal experience affects interpretation of art (understanding that each person’s experiences will affect how that person sees art) </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Pr="007318D8" w:rsidRDefault="009648BE" w:rsidP="009648BE">
            <w:pPr>
              <w:spacing w:after="0"/>
            </w:pPr>
            <w:r w:rsidRPr="007318D8">
              <w:t xml:space="preserve">i. recognizes and discusses how meaning is created in art (e.g., through symbols, iconography, formal elements, and principles) lifestyles and belief systems (e.g., how </w:t>
            </w:r>
            <w:r w:rsidRPr="007318D8">
              <w:lastRenderedPageBreak/>
              <w:t>Mesoamerican pyramids illuminate life and culture)</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r w:rsidR="009648BE" w:rsidTr="000F5121">
        <w:trPr>
          <w:trHeight w:val="467"/>
        </w:trPr>
        <w:tc>
          <w:tcPr>
            <w:tcW w:w="4518" w:type="dxa"/>
          </w:tcPr>
          <w:p w:rsidR="009648BE" w:rsidRDefault="009648BE" w:rsidP="009648BE">
            <w:pPr>
              <w:spacing w:after="0"/>
            </w:pPr>
            <w:r w:rsidRPr="007318D8">
              <w:t>j. acquires and evaluates information about art and artists from various sources</w:t>
            </w:r>
          </w:p>
        </w:tc>
        <w:tc>
          <w:tcPr>
            <w:tcW w:w="1376" w:type="dxa"/>
          </w:tcPr>
          <w:p w:rsidR="009648BE" w:rsidRDefault="009648BE" w:rsidP="009648BE"/>
        </w:tc>
        <w:tc>
          <w:tcPr>
            <w:tcW w:w="2111" w:type="dxa"/>
          </w:tcPr>
          <w:p w:rsidR="009648BE" w:rsidRDefault="009648BE" w:rsidP="009648BE"/>
        </w:tc>
        <w:tc>
          <w:tcPr>
            <w:tcW w:w="1710" w:type="dxa"/>
          </w:tcPr>
          <w:p w:rsidR="009648BE" w:rsidRDefault="009648BE" w:rsidP="009648BE"/>
        </w:tc>
        <w:tc>
          <w:tcPr>
            <w:tcW w:w="1620" w:type="dxa"/>
          </w:tcPr>
          <w:p w:rsidR="009648BE" w:rsidRDefault="009648BE" w:rsidP="009648BE"/>
        </w:tc>
        <w:tc>
          <w:tcPr>
            <w:tcW w:w="1260" w:type="dxa"/>
          </w:tcPr>
          <w:p w:rsidR="009648BE" w:rsidRDefault="009648BE" w:rsidP="009648BE"/>
        </w:tc>
      </w:tr>
    </w:tbl>
    <w:p w:rsidR="000247E2" w:rsidRDefault="000247E2" w:rsidP="000247E2"/>
    <w:p w:rsidR="000247E2" w:rsidRDefault="000247E2" w:rsidP="000247E2"/>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F7B" w:rsidRDefault="00F51F7B" w:rsidP="000247E2">
      <w:pPr>
        <w:spacing w:after="0" w:line="240" w:lineRule="auto"/>
      </w:pPr>
      <w:r>
        <w:separator/>
      </w:r>
    </w:p>
  </w:endnote>
  <w:endnote w:type="continuationSeparator" w:id="0">
    <w:p w:rsidR="00F51F7B" w:rsidRDefault="00F51F7B"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C5814">
                            <w:rPr>
                              <w:noProof/>
                            </w:rPr>
                            <w:t>11</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C5814">
                      <w:rPr>
                        <w:noProof/>
                      </w:rPr>
                      <w:t>11</w:t>
                    </w:r>
                    <w:r>
                      <w:rPr>
                        <w:noProof/>
                      </w:rPr>
                      <w:fldChar w:fldCharType="end"/>
                    </w:r>
                  </w:p>
                </w:txbxContent>
              </v:textbox>
              <w10:anchorlock/>
            </v:rect>
          </w:pict>
        </mc:Fallback>
      </mc:AlternateContent>
    </w:r>
    <w:r w:rsidR="00044D80" w:rsidRPr="00E15F3B">
      <w:rPr>
        <w:sz w:val="16"/>
      </w:rPr>
      <w:t>Copyright © 201</w:t>
    </w:r>
    <w:r w:rsidR="005C5814">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F7B" w:rsidRDefault="00F51F7B" w:rsidP="000247E2">
      <w:pPr>
        <w:spacing w:after="0" w:line="240" w:lineRule="auto"/>
      </w:pPr>
      <w:r>
        <w:separator/>
      </w:r>
    </w:p>
  </w:footnote>
  <w:footnote w:type="continuationSeparator" w:id="0">
    <w:p w:rsidR="00F51F7B" w:rsidRDefault="00F51F7B"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9648BE" w:rsidRPr="009648BE">
      <w:rPr>
        <w:rFonts w:ascii="Arial" w:hAnsi="Arial" w:cs="Arial"/>
        <w:b/>
        <w:sz w:val="28"/>
        <w:szCs w:val="28"/>
      </w:rPr>
      <w:t xml:space="preserve"> </w:t>
    </w:r>
    <w:r w:rsidR="009648BE" w:rsidRPr="009579FB">
      <w:rPr>
        <w:rFonts w:ascii="Arial" w:hAnsi="Arial" w:cs="Arial"/>
        <w:b/>
        <w:sz w:val="28"/>
        <w:szCs w:val="28"/>
      </w:rPr>
      <w:t xml:space="preserve">Art: Content </w:t>
    </w:r>
    <w:r w:rsidR="009648BE">
      <w:rPr>
        <w:rFonts w:ascii="Arial" w:hAnsi="Arial" w:cs="Arial"/>
        <w:b/>
        <w:sz w:val="28"/>
        <w:szCs w:val="28"/>
      </w:rPr>
      <w:t>and Analysis</w:t>
    </w:r>
    <w:r w:rsidR="009648BE" w:rsidRPr="009579FB">
      <w:rPr>
        <w:rFonts w:ascii="Arial" w:hAnsi="Arial" w:cs="Arial"/>
        <w:b/>
        <w:sz w:val="28"/>
        <w:szCs w:val="28"/>
      </w:rPr>
      <w:t xml:space="preserve"> </w:t>
    </w:r>
    <w:r w:rsidR="009648BE">
      <w:rPr>
        <w:rFonts w:ascii="Arial" w:hAnsi="Arial" w:cs="Arial"/>
        <w:b/>
        <w:sz w:val="28"/>
        <w:szCs w:val="28"/>
      </w:rPr>
      <w:t>(5135)</w:t>
    </w:r>
    <w:r w:rsidR="009648BE" w:rsidRPr="00CB1B37">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2206"/>
    <w:rsid w:val="00515F92"/>
    <w:rsid w:val="00526D12"/>
    <w:rsid w:val="0054575E"/>
    <w:rsid w:val="00551343"/>
    <w:rsid w:val="00566DB7"/>
    <w:rsid w:val="0058669F"/>
    <w:rsid w:val="005B26B5"/>
    <w:rsid w:val="005C5814"/>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648BE"/>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1F7B"/>
    <w:rsid w:val="00F572F5"/>
    <w:rsid w:val="00FA46FF"/>
    <w:rsid w:val="00FB161A"/>
    <w:rsid w:val="00FC282E"/>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BalloonText">
    <w:name w:val="Balloon Text"/>
    <w:basedOn w:val="Normal"/>
    <w:link w:val="BalloonTextChar"/>
    <w:uiPriority w:val="99"/>
    <w:semiHidden/>
    <w:unhideWhenUsed/>
    <w:rsid w:val="005C58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58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1565</Words>
  <Characters>8922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4</cp:revision>
  <dcterms:created xsi:type="dcterms:W3CDTF">2018-01-29T16:36:00Z</dcterms:created>
  <dcterms:modified xsi:type="dcterms:W3CDTF">2019-02-11T19:00:00Z</dcterms:modified>
</cp:coreProperties>
</file>