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6364A">
              <w:rPr>
                <w:b/>
                <w:color w:val="2E74B5" w:themeColor="accent1" w:themeShade="BF"/>
                <w:sz w:val="24"/>
                <w:szCs w:val="24"/>
              </w:rPr>
              <w:t>I. Development and Characteristics of Learners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(17%)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A. Cognitive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theories of cognitive development and developmental milestones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the factors influencing cognitive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B. Language/Communication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typical and atypical communication/language development in children from birth through age 8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factors influencing language/communication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3. Knows the sequences and stages of receptive and expressive language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factors that promote the development of literacy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Understands the effects of diversity on language/communication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C. Physical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1. Knows typical and atypical physical development in children from birth through </w:t>
            </w:r>
            <w:r w:rsidR="00914A60">
              <w:rPr>
                <w:rFonts w:asciiTheme="minorHAnsi" w:hAnsiTheme="minorHAnsi" w:cstheme="minorHAnsi"/>
              </w:rPr>
              <w:br/>
            </w:r>
            <w:r w:rsidRPr="0026364A">
              <w:rPr>
                <w:rFonts w:asciiTheme="minorHAnsi" w:hAnsiTheme="minorHAnsi" w:cstheme="minorHAnsi"/>
              </w:rPr>
              <w:t>age 8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2. Understands pre-, </w:t>
            </w:r>
            <w:proofErr w:type="spellStart"/>
            <w:r w:rsidRPr="0026364A">
              <w:rPr>
                <w:rFonts w:asciiTheme="minorHAnsi" w:hAnsiTheme="minorHAnsi" w:cstheme="minorHAnsi"/>
              </w:rPr>
              <w:t>peri</w:t>
            </w:r>
            <w:proofErr w:type="spellEnd"/>
            <w:r w:rsidRPr="0026364A">
              <w:rPr>
                <w:rFonts w:asciiTheme="minorHAnsi" w:hAnsiTheme="minorHAnsi" w:cstheme="minorHAnsi"/>
              </w:rPr>
              <w:t>-, and post-natal factors influencing physical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lastRenderedPageBreak/>
              <w:t>D. Social-Emotional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typical and atypical social-emotional development and developmental milestones in children from birth through age 8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factors influencing social-emotional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Gender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Culture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SES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Family dynamics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E. Adaptive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1. Knows typical and atypical adaptive development in children from birth through </w:t>
            </w:r>
            <w:r w:rsidR="00914A60">
              <w:rPr>
                <w:rFonts w:asciiTheme="minorHAnsi" w:hAnsiTheme="minorHAnsi" w:cstheme="minorHAnsi"/>
              </w:rPr>
              <w:br/>
            </w:r>
            <w:r w:rsidRPr="0026364A">
              <w:rPr>
                <w:rFonts w:asciiTheme="minorHAnsi" w:hAnsiTheme="minorHAnsi" w:cstheme="minorHAnsi"/>
              </w:rPr>
              <w:t>age 8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Identifies adaptive behaviors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Self-care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Self-sufficiency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Personal and social responsibility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Social adjustment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lastRenderedPageBreak/>
              <w:t>F. Disabling Conditions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 causes of common disabling conditions in early childhood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the effects of a disability on family resources and priorities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6364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II. IFSP, IEP Development and Delivery of Services, and Assessment and Eligibility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(25%)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036ACF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36ACF">
              <w:rPr>
                <w:rFonts w:asciiTheme="minorHAnsi" w:hAnsiTheme="minorHAnsi" w:cstheme="minorHAnsi"/>
                <w:b/>
              </w:rPr>
              <w:t>A. IFSP, IEP Development and Delivery of Services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 basic characteristics and defining factors of each major area of exceptionality as defined in IDEA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federal terminology and definitions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Least restrictive environment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Free and appropriate public education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3. Understands federal requirements for the screening, </w:t>
            </w:r>
            <w:proofErr w:type="spellStart"/>
            <w:r w:rsidRPr="0026364A">
              <w:rPr>
                <w:rFonts w:asciiTheme="minorHAnsi" w:hAnsiTheme="minorHAnsi" w:cstheme="minorHAnsi"/>
              </w:rPr>
              <w:t>prereferral</w:t>
            </w:r>
            <w:proofErr w:type="spellEnd"/>
            <w:r w:rsidRPr="0026364A">
              <w:rPr>
                <w:rFonts w:asciiTheme="minorHAnsi" w:hAnsiTheme="minorHAnsi" w:cstheme="minorHAnsi"/>
              </w:rPr>
              <w:t>, referral, identification, and classification of students with disabilities under IDEA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Parental consent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Evaluations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c. Individual Family Service Plan (IFSP)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Individualized Education Program (IEP)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federal safeguards of stakeholders’ rights and their impact on educational decisions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Access to records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Due process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Mediation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Confidentiality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Understands the components of an IFSP/IEP and the difference between the two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present levels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measurable goals and objectives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evaluation procedures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036ACF" w:rsidRDefault="00FB4510" w:rsidP="00FB451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36ACF">
              <w:rPr>
                <w:rFonts w:asciiTheme="minorHAnsi" w:hAnsiTheme="minorHAnsi" w:cstheme="minorHAnsi"/>
                <w:b/>
              </w:rPr>
              <w:t>B. Assessment and Eligibility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Understands the purpose, benefits, and limitations of a variety of formal and informal assessments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Understands factors influencing social-emotional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b. Recognizes the type of data provided by different standardized tests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Provides examples of formal and informal assessment modes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Distinguishes between qualitative and quantitative measures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e. Explains the ways the results of assessments are used to guide educational decisions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factors that can lead to the misidentification of students with disabilities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Culture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SES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Co-existing conditions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Gender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3. Knows procedures for identifying young children at risk for or with disabilities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Screening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Observations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c. </w:t>
            </w:r>
            <w:proofErr w:type="spellStart"/>
            <w:r w:rsidRPr="0026364A">
              <w:rPr>
                <w:rFonts w:asciiTheme="minorHAnsi" w:hAnsiTheme="minorHAnsi" w:cstheme="minorHAnsi"/>
              </w:rPr>
              <w:t>Prereferral</w:t>
            </w:r>
            <w:proofErr w:type="spellEnd"/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how to communicate assessment results to families and other professionals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5. Understands what assessment data indicates about a student’s ability, aptitude, or performance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6. Understands the basic terminology used in assessment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Validity and reliability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Grade-equivalent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Raw score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Percentile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036ACF" w:rsidRDefault="00FB4510" w:rsidP="00FB451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36ACF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III. Planning and Managing the Learning Environment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(37%)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 basic components of curriculum development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364A">
              <w:rPr>
                <w:rFonts w:asciiTheme="minorHAnsi" w:hAnsiTheme="minorHAnsi" w:cstheme="minorHAnsi"/>
                <w:sz w:val="22"/>
                <w:szCs w:val="22"/>
              </w:rPr>
              <w:t>a. Grade-equivalent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Scope and sequence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Alignment with standards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resources for locating specialized curriculum, materials, and equipment for students with disabilities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Professional organizations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Electronic and print resources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3. Knows how to select instructional content, resources, and strategies appropriate for students with disabilities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Matching lesson and unit objectives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Addressing the needs of individual students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Offering an array of resources and strategies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Knows how to use technology to support instruction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DVDs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Manipulatives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Computers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Assistive Technology devices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Knows how to integrate affective, social, and life skills with academic content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Identifies areas of the general curriculum appropriate for the integration of functional skills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strategies for teaching affective, social, and life skills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6. Understands the impact of a safe, equitable, positive, and supportive learning environment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a. Knows how to develop routines and procedures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how to arrange the classroom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7. Knows behavior management strategies for promoting developmentally appropriate behavior across settings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conduct a Functional Behavioral Assessment (FBA)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the components of a behavior management plan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Knows a variety of behavior management strategies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8. Knows how to create an environment that promotes literacy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structure a print-rich environment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how to encourage oral expression and discussion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B6619A" w:rsidRDefault="00FB4510" w:rsidP="00FB451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6619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IV. Family, Community, and Professional Relationships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(21%)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Understands strategies for planning and conducting collaborative conferences with students, their families, and school and community members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develop an action plan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b. Knows how to identify stakeholders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Knows how to identify the purpose of the collaboration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Knows how to support effective communication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the importance of connecting families with available supportive agencies, organizations, and resources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3. Knows strategies to involve families in their infants’ and young children’s development, progress, and learning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integrate the observations of parents/caregivers in instructional planning and decision making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a variety of strategies for communicating with parents and stakeholders about students’ progress and needs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their role as a resource for parents/caregivers, school personnel, and community members for information relating to children with disabilities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Knows how to acquire, interpret, and apply research in the field of early childhood special education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resources for accessing research, views, ideas and debates on teaching practices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b. Knows organizations and publications serving students with disabilities, their families, and their educators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Interprets data and results and conclusions from research on teaching practices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6. Understands ethical and legal standards associated with the field of early childhood special educ</w:t>
            </w:r>
            <w:r>
              <w:rPr>
                <w:rFonts w:asciiTheme="minorHAnsi" w:hAnsiTheme="minorHAnsi" w:cstheme="minorHAnsi"/>
              </w:rPr>
              <w:t>a</w:t>
            </w:r>
            <w:r w:rsidRPr="0026364A">
              <w:rPr>
                <w:rFonts w:asciiTheme="minorHAnsi" w:hAnsiTheme="minorHAnsi" w:cstheme="minorHAnsi"/>
              </w:rPr>
              <w:t>tion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Recognizes signs of child abuse/neglect and knows reporting procedures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ethical standards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7. Knows the implications of major laws and policies relating to the education of students with disabilities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Identifies legislation impacting the field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Explains how the provisions of major laws and policies impact educational decisions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8. Understands the role of continuing professional development as a means to inform practice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a variety of professional development practices and resources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  <w:tr w:rsidR="00FB4510" w:rsidTr="000F5121">
        <w:trPr>
          <w:trHeight w:val="467"/>
        </w:trPr>
        <w:tc>
          <w:tcPr>
            <w:tcW w:w="4518" w:type="dxa"/>
          </w:tcPr>
          <w:p w:rsidR="00FB4510" w:rsidRPr="0026364A" w:rsidRDefault="00FB4510" w:rsidP="00FB4510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Recognizes the role of reflective practice for professional growth</w:t>
            </w:r>
          </w:p>
        </w:tc>
        <w:tc>
          <w:tcPr>
            <w:tcW w:w="1376" w:type="dxa"/>
          </w:tcPr>
          <w:p w:rsidR="00FB4510" w:rsidRDefault="00FB4510" w:rsidP="00FB4510"/>
        </w:tc>
        <w:tc>
          <w:tcPr>
            <w:tcW w:w="2111" w:type="dxa"/>
          </w:tcPr>
          <w:p w:rsidR="00FB4510" w:rsidRDefault="00FB4510" w:rsidP="00FB4510"/>
        </w:tc>
        <w:tc>
          <w:tcPr>
            <w:tcW w:w="1710" w:type="dxa"/>
          </w:tcPr>
          <w:p w:rsidR="00FB4510" w:rsidRDefault="00FB4510" w:rsidP="00FB4510"/>
        </w:tc>
        <w:tc>
          <w:tcPr>
            <w:tcW w:w="1620" w:type="dxa"/>
          </w:tcPr>
          <w:p w:rsidR="00FB4510" w:rsidRDefault="00FB4510" w:rsidP="00FB4510"/>
        </w:tc>
        <w:tc>
          <w:tcPr>
            <w:tcW w:w="1260" w:type="dxa"/>
          </w:tcPr>
          <w:p w:rsidR="00FB4510" w:rsidRDefault="00FB4510" w:rsidP="00FB4510"/>
        </w:tc>
      </w:tr>
    </w:tbl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4EB" w:rsidRDefault="00EE04EB" w:rsidP="000247E2">
      <w:pPr>
        <w:spacing w:after="0" w:line="240" w:lineRule="auto"/>
      </w:pPr>
      <w:r>
        <w:separator/>
      </w:r>
    </w:p>
  </w:endnote>
  <w:endnote w:type="continuationSeparator" w:id="0">
    <w:p w:rsidR="00EE04EB" w:rsidRDefault="00EE04EB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14A60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14A60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914A60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4EB" w:rsidRDefault="00EE04EB" w:rsidP="000247E2">
      <w:pPr>
        <w:spacing w:after="0" w:line="240" w:lineRule="auto"/>
      </w:pPr>
      <w:r>
        <w:separator/>
      </w:r>
    </w:p>
  </w:footnote>
  <w:footnote w:type="continuationSeparator" w:id="0">
    <w:p w:rsidR="00EE04EB" w:rsidRDefault="00EE04EB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FB4510" w:rsidRPr="00FB4510">
      <w:rPr>
        <w:rFonts w:ascii="Arial" w:hAnsi="Arial" w:cs="Arial"/>
        <w:b/>
        <w:bCs/>
        <w:sz w:val="28"/>
        <w:szCs w:val="28"/>
      </w:rPr>
      <w:t xml:space="preserve"> </w:t>
    </w:r>
    <w:r w:rsidR="00FB4510" w:rsidRPr="00DD7F61">
      <w:rPr>
        <w:rFonts w:ascii="Arial" w:hAnsi="Arial" w:cs="Arial"/>
        <w:b/>
        <w:bCs/>
        <w:sz w:val="28"/>
        <w:szCs w:val="28"/>
      </w:rPr>
      <w:t>Special Education: Preschool/Early Childhood (5691)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B6D91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82CF1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4A60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0F1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1309C"/>
    <w:rsid w:val="00E20287"/>
    <w:rsid w:val="00E30C3E"/>
    <w:rsid w:val="00E74DF7"/>
    <w:rsid w:val="00E855E4"/>
    <w:rsid w:val="00E92E6D"/>
    <w:rsid w:val="00EB23BD"/>
    <w:rsid w:val="00EB3E81"/>
    <w:rsid w:val="00EB57B7"/>
    <w:rsid w:val="00EE04EB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B4510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10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2018-01-31T17:39:00Z</dcterms:created>
  <dcterms:modified xsi:type="dcterms:W3CDTF">2019-03-13T18:17:00Z</dcterms:modified>
</cp:coreProperties>
</file>