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Biology: Content Knowledge (5235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37ECA" w:rsidTr="00137ECA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137ECA" w:rsidRPr="00E67118" w:rsidRDefault="00137ECA" w:rsidP="00137ECA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137ECA" w:rsidTr="00137ECA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137ECA" w:rsidRDefault="00137ECA" w:rsidP="001718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137ECA" w:rsidRPr="008D258F" w:rsidRDefault="00137ECA" w:rsidP="0017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  <w:vAlign w:val="center"/>
          </w:tcPr>
          <w:p w:rsidR="00137ECA" w:rsidRDefault="00137ECA" w:rsidP="00171859"/>
        </w:tc>
        <w:tc>
          <w:tcPr>
            <w:tcW w:w="576" w:type="dxa"/>
            <w:shd w:val="clear" w:color="auto" w:fill="D9D9D9"/>
          </w:tcPr>
          <w:p w:rsidR="00137ECA" w:rsidRDefault="00137ECA" w:rsidP="00171859"/>
        </w:tc>
        <w:tc>
          <w:tcPr>
            <w:tcW w:w="576" w:type="dxa"/>
            <w:shd w:val="clear" w:color="auto" w:fill="D9D9D9"/>
          </w:tcPr>
          <w:p w:rsidR="00137ECA" w:rsidRDefault="00137ECA" w:rsidP="00171859"/>
        </w:tc>
        <w:tc>
          <w:tcPr>
            <w:tcW w:w="576" w:type="dxa"/>
            <w:shd w:val="clear" w:color="auto" w:fill="D9D9D9"/>
          </w:tcPr>
          <w:p w:rsidR="00137ECA" w:rsidRDefault="00137ECA" w:rsidP="00171859"/>
        </w:tc>
        <w:tc>
          <w:tcPr>
            <w:tcW w:w="576" w:type="dxa"/>
            <w:shd w:val="clear" w:color="auto" w:fill="D9D9D9"/>
          </w:tcPr>
          <w:p w:rsidR="00137ECA" w:rsidRDefault="00137ECA" w:rsidP="00171859"/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C14D4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I. Nature of Science: Scientific Inquiry, Methodology, Techniques, and History (14%)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A. Processes involved in scientific inquiry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Making observations (e.g., quantitative versus qualitative)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Formulating and testing hypotheses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Identifying experimental variables and controls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Drawing scientific conclusions (e.g., proof versus support)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Using scientific sources and communicating findings appropriately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94"/>
              </w:tabs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B. Science involves many disciplines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Chemical nature of biology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Mathematics in biology (e.g., statistics, proportions)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Physical laws and principles governing biological 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978"/>
              </w:tabs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C. Differences among facts, hypotheses, theories, and laws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1. Testable nature of hypotheses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2. Formulation of theories based on accumulated data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3. Durability of laws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D. </w:t>
            </w:r>
            <w:r w:rsidRPr="008C14D4">
              <w:rPr>
                <w:rFonts w:asciiTheme="minorHAnsi" w:hAnsiTheme="minorHAnsi" w:cstheme="minorHAnsi"/>
                <w:b/>
                <w:bCs/>
              </w:rPr>
              <w:t>Scientific ideas change over time; contributions made by major historical figures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Cell theory and germ theory (e.g., Hooke, Pasteur)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Heredity, evolution, and ecology (e.g., Mendel, Darwin)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Structure and nature of genetic material (e.g., Hershey and Chase, Franklin, Watson and Crick)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Classification of organisms (e.g., Linnaeus, Woese)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E. Appropriate use of scientific measurement and notation 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 xml:space="preserve">1 .Precision versus accuracy 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Metric and SI units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Unit conversions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Scientific notation and significant figures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5. Linear versus logarithmic scales (e.g., pH)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F. Read and interpret data represented in tables, graphs, and charts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Identify patterns and trends in data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Choose appropriate types of graphs or charts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Error analysis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Draw conclusions and make predictions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lastRenderedPageBreak/>
              <w:t>G. Construct and use scientific models to explain complex phenomena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Limitations of models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Select models for a given purpose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Physical (e.g., anatomical models), conceptual (e.g., fluid mosaic model), graphical and/or mathematical models (e.g., population growth models, global climate change)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Procedures involved in the safe preparation, storage, use, and disposal of laboratory and field materials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1. Molarity and percent solutions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2. Acid and base solutions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3. Flammable and/or caustic chemicals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4. Biological specimens and waste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spacing w:after="0"/>
              <w:rPr>
                <w:rFonts w:asciiTheme="minorHAnsi" w:hAnsiTheme="minorHAnsi" w:cstheme="minorHAnsi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I. Appropriate and safe use and care of laboratory equipment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1. Optical equipment (e.g., microscopes, spectrophotometers, UV light sources)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2. Separation equipment (e.g., gel electrophoresis, chromatography, centrifuges)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3. Measurement, mixing, and heating equipment (e.g., balances, stirrers, burners)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Cs/>
                <w:color w:val="000000"/>
              </w:rPr>
              <w:t>4. Sterilization equipment (e.g., autoclave, ovens)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lastRenderedPageBreak/>
              <w:t>J. Safety and emergency procedures for science classrooms and laboratories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Use of material safety data sheets (MSDS)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Use of personal safety equipment: (e.g., gloves, goggles, labcoats)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Use of laboratory safety equipment (e.g., fire extinguishers, eye wash stations, emergency showers)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C14D4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II. Molecular and Cellular Biology (20%)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A. Chemical structures and properties of biologically important molecules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Atomic structure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Organic versus inorganic molecules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Chemical bonding (e.g., hydrogen, covalent)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Molecular structure (e.g., carbon dioxide, ATP)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Water properties (e.g., cohesion, high specific heat)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449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6. Macromolecules (e.g., carbohydrates, nucleic acids, proteins, lipids)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B. Biological processes are dependent on chemical principles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Chemical and physical gradients (e.g., osmosis, diffusion, temperature)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Thermodynamics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3. Anabolic and catabolic reactions (e.g., hydrolysis)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Reduction-oxidation reactions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C. Structure and function of enzymes and factors influencing their activity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Active site structure and substrate binding (e.g., induced fit, lock and key)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Reaction kinetics (e.g., effects of temperature, pH, and inhibitors)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Regulation (e.g., cooperative binding, feedback inhibition)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D. Biochemical pathways and energy flow within an organism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Cellular locations of biochemical pathways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Photosynthesis (e.g., photosystems, electron transport, C3 and C4)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Cellular respiration (e.g., fermentation, Krebs cycle, electron transport)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Chemosynthesis (e.g., deep sea vent microorganisms)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E. Major differences between prokaryotes and eukaryotes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Cell size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Membrane bound organelles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Cell walls (e.g., peptidoglycan, cellulose)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4. Chromosome structure (e.g., circular versus linear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F. Structure and function of cells and organelles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Plant cells versus animal cells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Cell membranes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Membrane-bound organelles (e.g., nucleus, chloroplast) and ribosomes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Cytoskeleton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G. Cells maintain their internal environment and respond to external signals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1. Selective permeability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2. Active and passive transport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3. Water movement (e.g., osmolarity, water potential)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4. Cell surface proteins and cell communication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14D4">
              <w:rPr>
                <w:rFonts w:asciiTheme="minorHAnsi" w:eastAsia="Times New Roman" w:hAnsiTheme="minorHAnsi" w:cstheme="minorHAnsi"/>
                <w:sz w:val="22"/>
                <w:szCs w:val="22"/>
              </w:rPr>
              <w:t>5. Exocytosis and endocytosis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</w:rPr>
              <w:t>6. Hormone action and feedback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H. Cellular division, the cell cycle, and how they are regulated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Cell cycle stages (G1, S, G2, M)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Mitosis and meiosis (e.g., stages, functions, results)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3. Cytokinesis (e.g., cleavage furrow, cell plate)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Cell cycle checkpoints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I. Structure and function of nucleic acids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Sugar-phosphate backbone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DNA versus RNA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Complementary base pairing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Chromosome structure (e.g., nucleosome, telomeres, linear versus circular)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DNA replication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J. Processes involved in protein synthesis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RNA transcription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mRNA processing (e.g., poly A tail, splicing)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Translation (e.g., ribosome structure, tRNA)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K. Regulation of gene expression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Promoters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Enhancers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Transcription factors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Operons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Environmental influences (e.g., epigenetics)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lastRenderedPageBreak/>
              <w:t>L. Cells may undergo differentiation and specialization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Differential gene expression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Stem cells (e.g., sources, developmental potential)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M. Nature of mutations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Cause of mutations (e.g., recombination, translocation, mutagens)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Types of mutations (e.g., point mutations, deletions, inversion)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Somatic versus germ-line mutations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N. Use of basic laboratory techniques to study biological processes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Gel electrophoresis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Microscopy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Spectrophotometry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O. Use and applications of DNA technologies and genetic engineering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DNA sequencing and polymerase chain reaction (PCR)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Genome sequencing projects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Gene therapy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Cloning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5. Transgenic and genetically engineered cells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C14D4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III. Genetics and Evolution (20%)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A. Mendel’s laws and predicting the probable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Independent assortment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Law of segregation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Monohybrid and dihybrid crosses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Pedigree analysis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B. Non-Mendelian inheritance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Linkage (e.g., recombination mapping)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Sex-linked inheritance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Multiple alleles, codominance, and incomplete dominance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Polygenic inheritance, epistasis, and pleiotropy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5. Organelle inheritance (e.g., mitochondrial inheritance)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C. Chromosomal and genetic changes that lead to common human genetic disorders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Changes in chromosome numbers (e.g., Down syndrome)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Changes in chromosome structure (e.g., deletions, inversion, duplications)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3. Common genetic disorders (e.g., Sickle-cell anemia, Tay-Sachs)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D. Sources of genetic variation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Mutation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Crossing-over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Genetic exchange (e.g., transduction, transformation, conjugation)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Sexual reproduction (e.g., independent assortment)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E. Mutations, gene flow, genetic drift, and nonrandom mating affect the gene pool of a population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Distribution and movement of alleles within populations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Distribution and movement of alleles between populations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F. Principles and applications of Hardy-Weinberg equilibrium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Conditions of HW equilibrium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Calculating allele frequencies using the HW equation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G. Mechanisms of evolution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Natural and artificial selection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Sexual selection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3. Genetic drift (e.g., bottleneck, founder effect)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Coevolution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Adaptive radiation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H. Evidence that supports evolution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Molecular evidence (e.g., DNA sequence comparisons)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Structural and developmental evidence (e.g., homology, embryology)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Fossil record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Endosymbiosis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Convergent versus divergent evolution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6. Major evolutionary trends (e.g., cephalization, multicellularity)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I. Genetic basis of speciation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Reproductive isolation (e.g., behavioral, postzygotic)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Types of speciation (e.g., allopatric, sympatric)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r w:rsidRPr="008C14D4">
              <w:rPr>
                <w:rFonts w:asciiTheme="minorHAnsi" w:hAnsiTheme="minorHAnsi" w:cstheme="minorHAnsi"/>
                <w:b/>
                <w:bCs/>
              </w:rPr>
              <w:t>Models of evolutionary rates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Gradualism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Punctuated equilibrium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K. Scientific explanations for origin of life on Earth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lastRenderedPageBreak/>
              <w:t>1.Panspermia (e.g., asteroid seeding)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2.Abiotic synthesis of organic compounds (e.g., Urey-Miller experiment)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3.Biological influences on atmospheric composition (e.g., photosynthesis)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4.Development of self-replication (e.g., RNA world)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L. Factors that lead to extinction of species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Lack of genetic diversity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Environmental pressures (e.g., climate and habitat change)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Human impacts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Interspecific competition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C14D4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IV. Diversity of Life and Organismal Biology (20%)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A. Characteristics of living versus nonliving things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Cellular organization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Growth and reproduction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Regulation and responses to the environment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Obtain and use energy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B. Historical and current biological classification systems of organisms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Kingdom system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2. Domain system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C. Defining characteristics of viruses, bacteria, protists, fungi, plants, and animals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Structure (e.g., capsid, cell wall, organelles)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Organization (e.g., prokaryote, multicellular)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Modes of nutrition (e.g., heterotroph, autotroph)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Reproduction/replication (e.g., viral replication, binary fission, budding)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D. Characteristics of the major animal phyla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Body plans (e.g., radial versus bilateral symmetry)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Body cavities (e.g., coelomates, pseudocoelomates, acoelomates)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Modes of reproduction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Modes of temperature regulation (e.g., endotherm, ectotherm)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E. Organizational hierarchy of multicellular organisms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Cells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Tissues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Organs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Organ 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lastRenderedPageBreak/>
              <w:t>F. Anatomy and physiology of major organ systems in animals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Cardiovascular and respiratory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Reproductive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Digestive and excretory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Nervous and endocrine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Immune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G. Maintenance of homeostasis in organisms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Role of structural components (e.g., kidney, hypothalamus)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Feedback mechanisms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Role of hormones (e.g., antidiuretic hormone (ADH), insulin)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Role of behaviors (e.g., diurnal, nocturnal, basking)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H. Reproduction, development, and growth in animals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Gamete formation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Fertilization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Embryonic development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Growth, development, and aging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I. Characteristics of major plant divisions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1. Vascular versus nonvascular plants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Flowering versus nonflowering plants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Monocot versus dicot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J. Structure and function of major plant tissues and organs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Dermal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Vascular (xylem, phloem)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Ground (e.g., parenchyma, cortex)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4. Meristems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5. Flowers, stems, leaves, and roots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K. Plant life cycles and reproductive strategies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1. Alternation of generations (i.e., gametophyte, sporophyte)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2. Pollination strategies (e.g., wind, insect)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color w:val="000000"/>
              </w:rPr>
              <w:t>3. Seed dispersal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L. Plants obtain and transport water and inorganic nutrients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Roots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Xylem transport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Control (e.g., stomata)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lastRenderedPageBreak/>
              <w:t>M. Plants transport and store products of photosynthesis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Products (e.g., simple and complex carbohydrates)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Phloem transport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Storage molecules (e.g., starch, cellulose)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Storage structures (e.g., plastids, vacuoles, tuber)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C14D4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V. Ecology: Organisms and Environments (16%)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A. Hierarchical structure of the biosphere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Populations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Communities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Ecosystems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Biomes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B. Biotic and abiotic components of an ecosystem influence population size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Resource availability and abiotic factors (e.g., nutrients and temperature)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Habitat and niche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Competition and predation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C. Models of population growth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1. Exponential growth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Logistic growth (e.g., carrying capacity)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5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D. Relationship between reproductive strategies and mortality rates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440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Sexual versus asexual reproduction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Parental investment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Numbers of offspring produced versus numbers that survive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E. Relationships within and between species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Symbiosis (e.g., parasitism, commensalism, mutualism)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Predation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Competition and territoriality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Altruistic behaviors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F. Changes occur during ecological succession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Primary versus secondary succession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Biomass, diversity, productivity, and habitat changes during succession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G. Types and characteristics of biomes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Aquatic (e.g., stream, estuary, coral reef)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Terrestrial (e.g., desert, grassland, tropical rain forest)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lastRenderedPageBreak/>
              <w:t>H. Energy flow in the environment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Trophic levels (e.g., pyramids of biomass, pyramids of energy)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Food webs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I. Biogeochemical cycles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Water cycle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Carbon cycle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Nitrogen cycle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Phosphorus cycle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J. Effects of natural disturbances on biodiversity and ecosystems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Temporal and spatial disturbances (e.g., climate, fire, disease)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Fragmentation of ecosystems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Natural ecosystem recovery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K. Humans affect ecological systems and biodiversity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Pollution (e.g., greenhouse gases, acid precipitation)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Habitat destruction (e.g., deforestation)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Introduced species (e.g., non-native, reintroduced)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4. Remediation (e.g., reforestation, mine reclamation)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L. Connections among ecosystems on a local and global scale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Natural flow of material between ecosystems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Transport of materials by humans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Movement of organisms (e.g., migration)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C14D4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VI. Science, Technology, and Social Perspectives (10%)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A. Impact of science and technology on the environment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Pollution and pollution mitigation (e.g., burning fossil fuels, green building, environmental cleanup)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Resource management (e.g., waste management, recycling)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Conservation (e.g., habitat protection, habitat restoration, species protection)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Non-point sources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b/>
                <w:color w:val="000000"/>
              </w:rPr>
              <w:t>B. Impact of human activity and natural phenomena on society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Consequences (e.g., economic, social)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Disaster management (e.g., hurricane relief and cleanup)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Global warming, sea levels, flooding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4. Epidemiology (e.g., malaria, influenza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5. Agriculture and soil erosion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6. Estuary and wetland degradation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7. Water management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8. Production, use, and disposal of consumer products (e.g., plastics)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C. Societal impacts associated with the management of natural resources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Habitat preservation (e.g., Endangered Species Act, National Parks)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Extraction of mineral and energy resources (e.g., mining, drilling)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Agriculture, forestry, wildlife, and fisheries practices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4. Renewable and/or sustainable use of resources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hAnsiTheme="minorHAnsi" w:cstheme="minorHAnsi"/>
                <w:b/>
                <w:color w:val="000000"/>
              </w:rPr>
              <w:t>D. Ethical and societal issues arising from the use of science and technology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1. Ethical research concerns (e.g., stem cells, toxic chemicals)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2. Ethical use of technology (e.g., genetically modified organisms, cloning)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  <w:tr w:rsidR="00137ECA" w:rsidTr="00137ECA">
        <w:trPr>
          <w:trHeight w:val="395"/>
        </w:trPr>
        <w:tc>
          <w:tcPr>
            <w:tcW w:w="4752" w:type="dxa"/>
          </w:tcPr>
          <w:p w:rsidR="00137ECA" w:rsidRPr="008C14D4" w:rsidRDefault="00137ECA" w:rsidP="008C1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C14D4">
              <w:rPr>
                <w:rFonts w:asciiTheme="minorHAnsi" w:eastAsia="Times New Roman" w:hAnsiTheme="minorHAnsi" w:cstheme="minorHAnsi"/>
                <w:color w:val="000000"/>
              </w:rPr>
              <w:t>3. Societal concerns (e.g., security of genetic information, equal access to medical treatment)</w:t>
            </w: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  <w:tc>
          <w:tcPr>
            <w:tcW w:w="576" w:type="dxa"/>
          </w:tcPr>
          <w:p w:rsidR="00137ECA" w:rsidRPr="004318ED" w:rsidRDefault="00137ECA" w:rsidP="008C14D4">
            <w:pPr>
              <w:spacing w:after="0"/>
            </w:pPr>
          </w:p>
        </w:tc>
      </w:tr>
    </w:tbl>
    <w:p w:rsidR="006D0E58" w:rsidRDefault="006D0E58"/>
    <w:sectPr w:rsidR="006D0E58" w:rsidSect="00C24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6" w:rsidRDefault="00C54DC6" w:rsidP="001C2FFF">
      <w:pPr>
        <w:spacing w:after="0" w:line="240" w:lineRule="auto"/>
      </w:pPr>
      <w:r>
        <w:separator/>
      </w:r>
    </w:p>
  </w:endnote>
  <w:endnote w:type="continuationSeparator" w:id="0">
    <w:p w:rsidR="00C54DC6" w:rsidRDefault="00C54DC6" w:rsidP="001C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CA" w:rsidRDefault="00137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137ECA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bookmarkStart w:id="0" w:name="_GoBack"/>
    <w:bookmarkEnd w:id="0"/>
    <w:r w:rsidR="00397DBD" w:rsidRPr="00E15F3B">
      <w:rPr>
        <w:sz w:val="16"/>
      </w:rPr>
      <w:t xml:space="preserve"> by Educational Testing Service. All rights reserved. </w:t>
    </w:r>
    <w:r w:rsidR="00397DBD" w:rsidRPr="00E15F3B">
      <w:rPr>
        <w:bCs/>
        <w:sz w:val="16"/>
      </w:rPr>
      <w:t>ETS, the ETS logo and</w:t>
    </w:r>
    <w:r w:rsidR="00397DBD">
      <w:rPr>
        <w:bCs/>
        <w:sz w:val="16"/>
      </w:rPr>
      <w:t xml:space="preserve"> PRAXIS </w:t>
    </w:r>
    <w:r w:rsidR="00397DBD" w:rsidRPr="00E15F3B">
      <w:rPr>
        <w:bCs/>
        <w:sz w:val="16"/>
      </w:rPr>
      <w:t xml:space="preserve">are registered trademarks of Educational Testing Service (ETS). </w:t>
    </w:r>
    <w:r w:rsidR="00397DBD">
      <w:rPr>
        <w:bCs/>
        <w:sz w:val="16"/>
      </w:rPr>
      <w:t>31146</w:t>
    </w:r>
  </w:p>
  <w:p w:rsidR="007D29C3" w:rsidRDefault="00C54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CA" w:rsidRDefault="00137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6" w:rsidRDefault="00C54DC6" w:rsidP="001C2FFF">
      <w:pPr>
        <w:spacing w:after="0" w:line="240" w:lineRule="auto"/>
      </w:pPr>
      <w:r>
        <w:separator/>
      </w:r>
    </w:p>
  </w:footnote>
  <w:footnote w:type="continuationSeparator" w:id="0">
    <w:p w:rsidR="00C54DC6" w:rsidRDefault="00C54DC6" w:rsidP="001C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CA" w:rsidRDefault="00137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1C2FFF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397DBD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37EC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397DBD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37EC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06BFA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DBD">
      <w:rPr>
        <w:rFonts w:ascii="Arial" w:hAnsi="Arial" w:cs="Arial"/>
        <w:b/>
        <w:i/>
        <w:sz w:val="28"/>
        <w:szCs w:val="28"/>
      </w:rPr>
      <w:tab/>
    </w:r>
    <w:r w:rsidR="00397DBD" w:rsidRPr="00BA779F">
      <w:rPr>
        <w:rFonts w:ascii="Arial" w:hAnsi="Arial" w:cs="Arial"/>
        <w:b/>
        <w:i/>
        <w:sz w:val="28"/>
        <w:szCs w:val="28"/>
      </w:rPr>
      <w:t>Praxis</w:t>
    </w:r>
    <w:r w:rsidR="00397DBD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397DBD" w:rsidRPr="00BA779F">
      <w:rPr>
        <w:rFonts w:ascii="Arial" w:hAnsi="Arial" w:cs="Arial"/>
        <w:b/>
        <w:sz w:val="28"/>
        <w:szCs w:val="28"/>
      </w:rPr>
      <w:t xml:space="preserve"> </w:t>
    </w:r>
    <w:r w:rsidRPr="00BA2251">
      <w:rPr>
        <w:rFonts w:ascii="Arial" w:hAnsi="Arial" w:cs="Arial"/>
        <w:b/>
        <w:sz w:val="28"/>
        <w:szCs w:val="28"/>
      </w:rPr>
      <w:t xml:space="preserve">Biology: Content Knowledge </w:t>
    </w:r>
    <w:r>
      <w:rPr>
        <w:rFonts w:ascii="Arial" w:hAnsi="Arial" w:cs="Arial"/>
        <w:b/>
        <w:sz w:val="28"/>
        <w:szCs w:val="28"/>
      </w:rPr>
      <w:t>(</w:t>
    </w:r>
    <w:r w:rsidRPr="00BA2251">
      <w:rPr>
        <w:rFonts w:ascii="Arial" w:hAnsi="Arial" w:cs="Arial"/>
        <w:b/>
        <w:sz w:val="28"/>
        <w:szCs w:val="28"/>
      </w:rPr>
      <w:t>5235</w:t>
    </w:r>
    <w:r>
      <w:rPr>
        <w:rFonts w:ascii="Arial" w:hAnsi="Arial" w:cs="Arial"/>
        <w:b/>
        <w:sz w:val="28"/>
        <w:szCs w:val="28"/>
      </w:rPr>
      <w:t>)</w:t>
    </w:r>
  </w:p>
  <w:p w:rsidR="007D29C3" w:rsidRPr="003B1CF2" w:rsidRDefault="00397DBD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CA" w:rsidRDefault="00137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FA"/>
    <w:rsid w:val="00000AC6"/>
    <w:rsid w:val="0002434D"/>
    <w:rsid w:val="00027D53"/>
    <w:rsid w:val="00041AE7"/>
    <w:rsid w:val="000469EA"/>
    <w:rsid w:val="000C1846"/>
    <w:rsid w:val="000E6797"/>
    <w:rsid w:val="00134A82"/>
    <w:rsid w:val="00137ECA"/>
    <w:rsid w:val="00165904"/>
    <w:rsid w:val="00167687"/>
    <w:rsid w:val="001804F5"/>
    <w:rsid w:val="00184C1A"/>
    <w:rsid w:val="001B1D86"/>
    <w:rsid w:val="001B4737"/>
    <w:rsid w:val="001C2FFF"/>
    <w:rsid w:val="001C54DB"/>
    <w:rsid w:val="001C5C27"/>
    <w:rsid w:val="001E0B30"/>
    <w:rsid w:val="001E26A2"/>
    <w:rsid w:val="002032C1"/>
    <w:rsid w:val="002452B9"/>
    <w:rsid w:val="00247421"/>
    <w:rsid w:val="00264FE1"/>
    <w:rsid w:val="002826F8"/>
    <w:rsid w:val="00282D2D"/>
    <w:rsid w:val="002A5DAE"/>
    <w:rsid w:val="002B7258"/>
    <w:rsid w:val="002C0F50"/>
    <w:rsid w:val="002E5859"/>
    <w:rsid w:val="002F7973"/>
    <w:rsid w:val="003109CC"/>
    <w:rsid w:val="00337C04"/>
    <w:rsid w:val="003642A1"/>
    <w:rsid w:val="00397DBD"/>
    <w:rsid w:val="003A0BBD"/>
    <w:rsid w:val="003A1559"/>
    <w:rsid w:val="003A7AC3"/>
    <w:rsid w:val="003B2205"/>
    <w:rsid w:val="003C0968"/>
    <w:rsid w:val="00402A01"/>
    <w:rsid w:val="00424312"/>
    <w:rsid w:val="004354CC"/>
    <w:rsid w:val="00436184"/>
    <w:rsid w:val="00451861"/>
    <w:rsid w:val="004634E7"/>
    <w:rsid w:val="00473320"/>
    <w:rsid w:val="00474E89"/>
    <w:rsid w:val="00477FBF"/>
    <w:rsid w:val="00480A1D"/>
    <w:rsid w:val="00484141"/>
    <w:rsid w:val="0048757E"/>
    <w:rsid w:val="00495F6C"/>
    <w:rsid w:val="004B1384"/>
    <w:rsid w:val="004D66F8"/>
    <w:rsid w:val="00504B48"/>
    <w:rsid w:val="00514A93"/>
    <w:rsid w:val="00522CC0"/>
    <w:rsid w:val="00526BF0"/>
    <w:rsid w:val="005525B6"/>
    <w:rsid w:val="005623AF"/>
    <w:rsid w:val="00562CB3"/>
    <w:rsid w:val="005635AB"/>
    <w:rsid w:val="00576CD6"/>
    <w:rsid w:val="005910A0"/>
    <w:rsid w:val="00591E24"/>
    <w:rsid w:val="005C453E"/>
    <w:rsid w:val="005E2C43"/>
    <w:rsid w:val="005F2329"/>
    <w:rsid w:val="005F66FE"/>
    <w:rsid w:val="00605988"/>
    <w:rsid w:val="006342BB"/>
    <w:rsid w:val="00635023"/>
    <w:rsid w:val="006464DF"/>
    <w:rsid w:val="00646987"/>
    <w:rsid w:val="006A08A9"/>
    <w:rsid w:val="006B12F3"/>
    <w:rsid w:val="006C11F4"/>
    <w:rsid w:val="006D0E58"/>
    <w:rsid w:val="006D34F0"/>
    <w:rsid w:val="006F3AE1"/>
    <w:rsid w:val="00775129"/>
    <w:rsid w:val="00780355"/>
    <w:rsid w:val="007817AC"/>
    <w:rsid w:val="00790FEF"/>
    <w:rsid w:val="007B489C"/>
    <w:rsid w:val="007B4A13"/>
    <w:rsid w:val="007C4265"/>
    <w:rsid w:val="007C6B9C"/>
    <w:rsid w:val="007F3B08"/>
    <w:rsid w:val="00816EE7"/>
    <w:rsid w:val="008232CF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C14D4"/>
    <w:rsid w:val="008D0BDA"/>
    <w:rsid w:val="008D5994"/>
    <w:rsid w:val="008F196C"/>
    <w:rsid w:val="00922D90"/>
    <w:rsid w:val="00991F1A"/>
    <w:rsid w:val="009B412A"/>
    <w:rsid w:val="009F3907"/>
    <w:rsid w:val="00A01D84"/>
    <w:rsid w:val="00A16F46"/>
    <w:rsid w:val="00A1729B"/>
    <w:rsid w:val="00A17932"/>
    <w:rsid w:val="00A17ACD"/>
    <w:rsid w:val="00A50527"/>
    <w:rsid w:val="00A56FD4"/>
    <w:rsid w:val="00A62304"/>
    <w:rsid w:val="00A842BF"/>
    <w:rsid w:val="00AB7EA0"/>
    <w:rsid w:val="00AD00AE"/>
    <w:rsid w:val="00B02900"/>
    <w:rsid w:val="00B2042D"/>
    <w:rsid w:val="00B24A07"/>
    <w:rsid w:val="00B2768B"/>
    <w:rsid w:val="00B57F8E"/>
    <w:rsid w:val="00B91ED4"/>
    <w:rsid w:val="00B97C3D"/>
    <w:rsid w:val="00BF26B9"/>
    <w:rsid w:val="00C54DC6"/>
    <w:rsid w:val="00C5579C"/>
    <w:rsid w:val="00C7073B"/>
    <w:rsid w:val="00C80E8A"/>
    <w:rsid w:val="00CA474D"/>
    <w:rsid w:val="00CB3E5A"/>
    <w:rsid w:val="00CB5AF4"/>
    <w:rsid w:val="00CE1ADB"/>
    <w:rsid w:val="00D05579"/>
    <w:rsid w:val="00D06BFA"/>
    <w:rsid w:val="00D15D3D"/>
    <w:rsid w:val="00D257C7"/>
    <w:rsid w:val="00D27AFF"/>
    <w:rsid w:val="00D9136C"/>
    <w:rsid w:val="00DC68C0"/>
    <w:rsid w:val="00DE053D"/>
    <w:rsid w:val="00DE527D"/>
    <w:rsid w:val="00E01B28"/>
    <w:rsid w:val="00E12D91"/>
    <w:rsid w:val="00E349A1"/>
    <w:rsid w:val="00E47DB0"/>
    <w:rsid w:val="00E957DB"/>
    <w:rsid w:val="00EA33A2"/>
    <w:rsid w:val="00EA4989"/>
    <w:rsid w:val="00EB4437"/>
    <w:rsid w:val="00ED1995"/>
    <w:rsid w:val="00F10605"/>
    <w:rsid w:val="00F950A6"/>
    <w:rsid w:val="00FA75B9"/>
    <w:rsid w:val="00FB064E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35A0A-BC1E-44FD-B4F7-280983F2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B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6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FA"/>
    <w:rPr>
      <w:sz w:val="22"/>
      <w:szCs w:val="22"/>
    </w:rPr>
  </w:style>
  <w:style w:type="paragraph" w:customStyle="1" w:styleId="Default">
    <w:name w:val="Default"/>
    <w:rsid w:val="00D06BFA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14">
    <w:name w:val="A14"/>
    <w:uiPriority w:val="99"/>
    <w:rsid w:val="006464DF"/>
    <w:rPr>
      <w:rFonts w:cs="HelveticaNeueLT Std"/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21318-8E82-4381-B9B0-F164CC4078F1}"/>
</file>

<file path=customXml/itemProps2.xml><?xml version="1.0" encoding="utf-8"?>
<ds:datastoreItem xmlns:ds="http://schemas.openxmlformats.org/officeDocument/2006/customXml" ds:itemID="{3A8D655F-6167-4121-91A7-314BEA90074C}"/>
</file>

<file path=customXml/itemProps3.xml><?xml version="1.0" encoding="utf-8"?>
<ds:datastoreItem xmlns:ds="http://schemas.openxmlformats.org/officeDocument/2006/customXml" ds:itemID="{0D4AA36A-EF0A-4000-A894-C0D1B4215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5</cp:revision>
  <dcterms:created xsi:type="dcterms:W3CDTF">2017-06-02T18:29:00Z</dcterms:created>
  <dcterms:modified xsi:type="dcterms:W3CDTF">2017-07-11T20:33:00Z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