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</w:rPr>
            </w:pPr>
            <w:r w:rsidRPr="005106CD">
              <w:rPr>
                <w:rStyle w:val="A7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5106CD">
              <w:rPr>
                <w:rFonts w:asciiTheme="minorHAnsi" w:hAnsiTheme="minorHAnsi" w:cstheme="minorHAnsi"/>
                <w:b/>
                <w:bCs/>
                <w:color w:val="00498D"/>
              </w:rPr>
              <w:t>Content Knowledge and Student Growth and Development (23%)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Core Concepts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Terminology, principles, concepts, and applications of the basic sciences as related to motor skills and movement activities (e.g., anatomy and physiology, exercise physiology, biomechanics and kinesiology, motor development and motor learning)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Principles of biomechanics and kinesiology as they relate to motor skills and movement patterns (e.g., summation of forces, center of gravity, force/speed relations, torque)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Movement concepts (e.g., body awareness, spatial awareness, effort, relationship)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Exercise physiology (e.g., components of health-related fitness; components of skill-related fitness; fitness guidelines such as frequency, intensity, time/duration, type/mode; principles of exercise such as specificity, overload, progression; roles of body systems in exercise; short- and long-term effects of physical training; nutrition as related to exercise; fitness; metabolic response to exercise)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Anatomy and physiology (e.g., skeletal, muscular, nervous, circulatory, and respiratory systems)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6. Current and historical trends, issues, and developments in physical education (e.g., laws, teaching methods, theories, concepts, techniques)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7. Understanding of the rules, strategies, skills, techniques, and concepts associated with a variety of movement activities and games across the age and grade spectra; emphasis predominantly on basketball, soccer, swimming, tennis, track and field, and volleyball, with questions based possibly on other sports and activities commonly used in physical education settings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8. Liability and legal considerations pertaining to the use of equipment, class organization, supervision, and program selection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9. Effects of substance abuse on student performance, health, and behavior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Student Growth and Development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Sequential and developmentally appropriate learning and practice opportunities based on growth and motor development stages, individual characteristics and individual needs of students, learning environment, and task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 xml:space="preserve">2. Monitoring of individual performance and group performance in order to design safe instruction that meets students’ developmental </w:t>
            </w: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needs in the psychomotor, cognitive, and affective domains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Developmental readiness to learn and refine motor skills and movement patterns (e.g., biological, psychological, sociological, experiential, environmental)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Perception in motor development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Appropriate and effective instruction related to students’ cultures and ethnicities, personal values, family structures, home environments, and community values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Use of appropriate professional support services and resources to meet students’ needs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Management, Motivation, and Communication (19%)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5106CD">
              <w:rPr>
                <w:rFonts w:asciiTheme="minorHAnsi" w:hAnsiTheme="minorHAnsi" w:cstheme="minorHAnsi"/>
                <w:b/>
                <w:bCs/>
                <w:color w:val="000000"/>
              </w:rPr>
              <w:t>A. Management and Motivation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Principles of classroom management practices that create effective learning experiences in physical education settings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Psychological and social factors that affect individual learning and group learning, participation, cooperation, and performance in physical education settings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 xml:space="preserve">3. Organization, allocation, and management of resources to provide active and equitable learning experiences (e.g., time, space, </w:t>
            </w: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equipment, activities, teacher attention, students)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Motivation of students to participate in physical activity both in school and outside of school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Promotion of positive relationships, encouragement of responsible personal and social behaviors among students, and establishment of a productive learning environment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Development and use of an effective behavior management plan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Communication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Effective verbal and nonverbal communication skills in a variety of physical activity settings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Specific appropriate instructional feedback in skill acquisition, student learning, and motivation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Communication of classroom management and instructional information in a variety of ways (e.g., verbally and nonverbally and via bulletin boards, music, task cards, posters, technology)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Communication in ways that show respect and consideration for students, colleagues, and parents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III. Planning, Instruction, and Student Assessment (19%)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Planning and Instruction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Teaching of skillful movement, physical activity, and fitness via pedagogy, sociology, psychology, anatomy and physiology, exercise physiology, biomechanics and kinesiology, motor development and motor learning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Sequencing of motor skill activities and use of movement concepts and effective strategies to improve learning in physical education activities and to improve skill development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Provision of feedback to enhance skill development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Activities designed to improve health-related and skill-related fitness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5. Current issues, trends, and laws affecting the choice of appropriate physical education activities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Identification, development, and implementation of appropriate program and instructional goals and objectives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7. Development of unit and lesson plans based on local, state, and national standards, program goals, instructional goals, and students’ needs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 xml:space="preserve">8. Appropriate instructional strategies to facilitate learning in the physical activity setting based on selected content, students’ needs, </w:t>
            </w: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safety concerns, facilities and equipment, and instructional models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9. Use of teaching resources and curriculum materials to design learning experiences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10. Explanations, demonstrations, and appropriate instructional cues and prompts to link physical activity concepts to learning experiences and to facilitate motor skill performance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11. General and specific safety and injury prevention guidelines for planning of movement and fitness activities (e.g., first aid, cardiopulmonary resuscitation)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Student Assessment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Assessment of student skill performance and fitness via a variety of tools (e.g., observations, data, charts, graphs, rating scales)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Gathering of data and assessment of student learning in the cognitive and affective domains by a variety of techniques (e.g., written assessments, rating scales, observations)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 xml:space="preserve">3. Understanding of fitness assessments such as President’s Challenge and </w:t>
            </w:r>
            <w:proofErr w:type="spellStart"/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Fitnessgram</w:t>
            </w:r>
            <w:proofErr w:type="spellEnd"/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Types of assessments and assessment methods (e.g., formative, summative, authentic, portfolio, standardized, rubric, criterion referenced, norm referenced)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5. Validity, reliability, bias, and ways of interpreting assessment results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6. Appropriate assessment techniques to assess and improve students’ understanding and performance, provide feedback, communicate students’ progress, guide students’ personal goal setting, and guide curricular and instructional decisions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7. Involvement of students in self-assessment and peer assessment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8. Appropriate assessment of individuals with disabilities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9. Referral procedures under the Individuals with Disabilities Education Act and Section 504 of the Vocational Rehabilitation Act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Collaboration, Reflection, and Technology (14%)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Collaboration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Current educational issues that cross subject matter boundaries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Integration of knowledge and skills from multiple subject areas in physical education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Establishment of productive relationships to support student growth and well-being with school colleagues and administrators, parents and guardians, community members, and organizations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4. Promotion of a variety of opportunities for physical activity in the school and the community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5106C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Reflection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Use of the reflective cycle to facilitate change in teacher performance, student learning, and instructional goals and decisions (e.g., planning, teaching, assessment, reflection)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Use of available resources to develop and grow as a reflective professional (e.g., students, colleagues, literature, professional organization memberships, professional development opportunities)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Technology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Design, development, and implementation of student learning activities that integrate information technology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Use of technologies to communicate, instruct, assess, keep records, network, locate resources, present information, and enhance professional development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Instructional Design (25%)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Fitness Instruction (1 question)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Design activities that improve students’ levels of health-related and skill-related fitness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Uses developmentally appropriate activities to increase fitness levels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3. Understands the different types of fitness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4. Modification activities for special populations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5106CD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Skill Instruction (1 question)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1. Sequence motor skill activities in a developmentally appropriate manner to improve learning in physical education activities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  <w:tr w:rsidR="00F42CC2" w:rsidTr="000F5121">
        <w:trPr>
          <w:trHeight w:val="467"/>
        </w:trPr>
        <w:tc>
          <w:tcPr>
            <w:tcW w:w="4518" w:type="dxa"/>
          </w:tcPr>
          <w:p w:rsidR="00F42CC2" w:rsidRPr="005106CD" w:rsidRDefault="00F42CC2" w:rsidP="00F42CC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5106CD">
              <w:rPr>
                <w:rFonts w:asciiTheme="minorHAnsi" w:hAnsiTheme="minorHAnsi" w:cstheme="minorHAnsi"/>
                <w:sz w:val="22"/>
                <w:szCs w:val="22"/>
              </w:rPr>
              <w:t>2. Use movement concepts and developmentally appropriate strategies for improving skill development</w:t>
            </w:r>
          </w:p>
        </w:tc>
        <w:tc>
          <w:tcPr>
            <w:tcW w:w="1376" w:type="dxa"/>
          </w:tcPr>
          <w:p w:rsidR="00F42CC2" w:rsidRDefault="00F42CC2" w:rsidP="00F42CC2"/>
        </w:tc>
        <w:tc>
          <w:tcPr>
            <w:tcW w:w="2111" w:type="dxa"/>
          </w:tcPr>
          <w:p w:rsidR="00F42CC2" w:rsidRDefault="00F42CC2" w:rsidP="00F42CC2"/>
        </w:tc>
        <w:tc>
          <w:tcPr>
            <w:tcW w:w="1710" w:type="dxa"/>
          </w:tcPr>
          <w:p w:rsidR="00F42CC2" w:rsidRDefault="00F42CC2" w:rsidP="00F42CC2"/>
        </w:tc>
        <w:tc>
          <w:tcPr>
            <w:tcW w:w="1620" w:type="dxa"/>
          </w:tcPr>
          <w:p w:rsidR="00F42CC2" w:rsidRDefault="00F42CC2" w:rsidP="00F42CC2"/>
        </w:tc>
        <w:tc>
          <w:tcPr>
            <w:tcW w:w="1260" w:type="dxa"/>
          </w:tcPr>
          <w:p w:rsidR="00F42CC2" w:rsidRDefault="00F42CC2" w:rsidP="00F42CC2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1C4C" w:rsidRDefault="002C1C4C" w:rsidP="000247E2">
      <w:pPr>
        <w:spacing w:after="0" w:line="240" w:lineRule="auto"/>
      </w:pPr>
      <w:r>
        <w:separator/>
      </w:r>
    </w:p>
  </w:endnote>
  <w:endnote w:type="continuationSeparator" w:id="0">
    <w:p w:rsidR="002C1C4C" w:rsidRDefault="002C1C4C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20B0403030403020204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962BED"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962BED"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962BED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1C4C" w:rsidRDefault="002C1C4C" w:rsidP="000247E2">
      <w:pPr>
        <w:spacing w:after="0" w:line="240" w:lineRule="auto"/>
      </w:pPr>
      <w:r>
        <w:separator/>
      </w:r>
    </w:p>
  </w:footnote>
  <w:footnote w:type="continuationSeparator" w:id="0">
    <w:p w:rsidR="002C1C4C" w:rsidRDefault="002C1C4C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F42CC2" w:rsidRPr="00F42CC2">
      <w:rPr>
        <w:rFonts w:ascii="Arial" w:hAnsi="Arial" w:cs="Arial"/>
        <w:b/>
        <w:bCs/>
        <w:sz w:val="28"/>
        <w:szCs w:val="28"/>
      </w:rPr>
      <w:t xml:space="preserve"> </w:t>
    </w:r>
    <w:r w:rsidR="00F42CC2" w:rsidRPr="00564D42">
      <w:rPr>
        <w:rFonts w:ascii="Arial" w:hAnsi="Arial" w:cs="Arial"/>
        <w:b/>
        <w:bCs/>
        <w:sz w:val="28"/>
        <w:szCs w:val="28"/>
      </w:rPr>
      <w:t>Physical Education: Content and Design (5095)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C1C4C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2BED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2CC2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7">
    <w:name w:val="A7"/>
    <w:uiPriority w:val="99"/>
    <w:rsid w:val="00F42CC2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9280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2018-01-29T20:20:00Z</dcterms:created>
  <dcterms:modified xsi:type="dcterms:W3CDTF">2019-01-31T21:38:00Z</dcterms:modified>
</cp:coreProperties>
</file>